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CF" w:rsidRPr="0015265D" w:rsidRDefault="00DA4DB9" w:rsidP="007D45CF">
      <w:pPr>
        <w:pStyle w:val="CSDAPolicy1"/>
        <w:rPr>
          <w:b/>
          <w:bCs/>
          <w:spacing w:val="-4"/>
        </w:rPr>
      </w:pPr>
      <w:bookmarkStart w:id="0" w:name="_GoBack"/>
      <w:bookmarkEnd w:id="0"/>
      <w:r w:rsidRPr="0015265D">
        <w:rPr>
          <w:b/>
          <w:bCs/>
          <w:spacing w:val="-4"/>
        </w:rPr>
        <w:t>POLI</w:t>
      </w:r>
      <w:r w:rsidR="00C853A7" w:rsidRPr="0015265D">
        <w:rPr>
          <w:b/>
          <w:bCs/>
          <w:spacing w:val="-4"/>
        </w:rPr>
        <w:t>CY TITLE:</w:t>
      </w:r>
      <w:r w:rsidR="00C853A7" w:rsidRPr="0015265D">
        <w:rPr>
          <w:b/>
          <w:bCs/>
          <w:spacing w:val="-4"/>
        </w:rPr>
        <w:tab/>
      </w:r>
      <w:r w:rsidR="004665F5" w:rsidRPr="0015265D">
        <w:rPr>
          <w:b/>
          <w:bCs/>
          <w:spacing w:val="-4"/>
        </w:rPr>
        <w:t>Sick Leave</w:t>
      </w:r>
    </w:p>
    <w:p w:rsidR="007D45CF" w:rsidRPr="0015265D" w:rsidRDefault="004665F5" w:rsidP="007D45CF">
      <w:pPr>
        <w:pStyle w:val="CSDAPolicy1"/>
        <w:rPr>
          <w:b/>
          <w:bCs/>
          <w:spacing w:val="-4"/>
        </w:rPr>
      </w:pPr>
      <w:r w:rsidRPr="0015265D">
        <w:rPr>
          <w:b/>
          <w:bCs/>
          <w:spacing w:val="-4"/>
        </w:rPr>
        <w:t>POLICY NUMBER:</w:t>
      </w:r>
      <w:r w:rsidRPr="0015265D">
        <w:rPr>
          <w:b/>
          <w:bCs/>
          <w:spacing w:val="-4"/>
        </w:rPr>
        <w:tab/>
        <w:t>346</w:t>
      </w:r>
      <w:r w:rsidR="00F318EE" w:rsidRPr="0015265D">
        <w:rPr>
          <w:b/>
          <w:bCs/>
          <w:spacing w:val="-4"/>
        </w:rPr>
        <w:t>0</w:t>
      </w:r>
    </w:p>
    <w:p w:rsidR="007D45CF" w:rsidRPr="0015265D" w:rsidRDefault="007D45CF" w:rsidP="007D45CF">
      <w:pPr>
        <w:pStyle w:val="CSDAPolicy1"/>
        <w:rPr>
          <w:bCs/>
          <w:spacing w:val="-4"/>
        </w:rPr>
      </w:pPr>
    </w:p>
    <w:p w:rsidR="007D45CF" w:rsidRPr="0015265D" w:rsidRDefault="007D45CF" w:rsidP="007D45CF">
      <w:pPr>
        <w:pStyle w:val="CSDAPolicy1"/>
        <w:rPr>
          <w:spacing w:val="-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.1</w:t>
      </w:r>
      <w:r w:rsidRPr="0015265D">
        <w:rPr>
          <w:spacing w:val="-4"/>
          <w:szCs w:val="24"/>
        </w:rPr>
        <w:tab/>
        <w:t>This policy shall apply to probationary and regular employees in all classifications.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.2</w:t>
      </w:r>
      <w:r w:rsidRPr="0015265D">
        <w:rPr>
          <w:spacing w:val="-4"/>
          <w:szCs w:val="24"/>
        </w:rPr>
        <w:tab/>
        <w:t>Sick leave is defined as absence from work due to illness, non-industrial injury, or quarantine due to exposure to a contagious disease.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In addition, dentist and doctor appointments and prescribed sickness preve</w:t>
      </w:r>
      <w:r w:rsidRPr="0015265D">
        <w:rPr>
          <w:spacing w:val="-4"/>
          <w:szCs w:val="24"/>
        </w:rPr>
        <w:t>n</w:t>
      </w:r>
      <w:r w:rsidRPr="0015265D">
        <w:rPr>
          <w:spacing w:val="-4"/>
          <w:szCs w:val="24"/>
        </w:rPr>
        <w:t>tion measures shall be subject to sick leave provided prior notice is provided to [SPECIFY DEPARTMENT, POSITION, PERSON, etc.].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.3</w:t>
      </w:r>
      <w:r w:rsidRPr="0015265D">
        <w:rPr>
          <w:spacing w:val="-4"/>
          <w:szCs w:val="24"/>
        </w:rPr>
        <w:tab/>
        <w:t>Employees shall earn sick leave at the rate of one working day per month, cumulative to a maxi-mum of 60 days.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The determination of total accumulated sick leave days shall be made on January 2 of each year.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.4</w:t>
      </w:r>
      <w:r w:rsidRPr="0015265D">
        <w:rPr>
          <w:spacing w:val="-4"/>
          <w:szCs w:val="24"/>
        </w:rPr>
        <w:tab/>
        <w:t>Each employee may use accrued sick leave, up to half the time accrued per calendar year, as kin care leave, to care for sick immediate-family members.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It is provided for those circumstances where the employee must take time off to care for a sick family member, regardless of the seriousness of the illness.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Employees should notify their supervisor to the extent feasible in order to avoid disruptions in work schedule as a result of use of kin care time.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Family members covered include parents, children and spouses and are defined as follows: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spacing w:val="-4"/>
          <w:szCs w:val="24"/>
        </w:rPr>
        <w:tab/>
      </w: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.4.1</w:t>
      </w:r>
      <w:r w:rsidRPr="0015265D">
        <w:rPr>
          <w:spacing w:val="-4"/>
          <w:szCs w:val="24"/>
        </w:rPr>
        <w:tab/>
        <w:t>A “child” means a biological, adopted or foster child, a stepchild, a legal ward or a child for whom an employee has accepted the duties and responsibilities of raising, such as where a grandparent raises his/her grandchild.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spacing w:val="-4"/>
          <w:szCs w:val="24"/>
        </w:rPr>
        <w:tab/>
      </w: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.4.2</w:t>
      </w:r>
      <w:r w:rsidRPr="0015265D">
        <w:rPr>
          <w:spacing w:val="-4"/>
          <w:szCs w:val="24"/>
        </w:rPr>
        <w:tab/>
        <w:t>A “parent” means a biological, foster or adoptive parent, a stepparent or legal guardian.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Mothers-in-law, fathers-in-law and grandparents are also considered “parents for purposes of this division.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spacing w:val="-4"/>
          <w:szCs w:val="24"/>
        </w:rPr>
        <w:tab/>
      </w: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.4.3</w:t>
      </w:r>
      <w:r w:rsidRPr="0015265D">
        <w:rPr>
          <w:spacing w:val="-4"/>
          <w:szCs w:val="24"/>
        </w:rPr>
        <w:tab/>
        <w:t>The term “spouse” is not defined in the legislation mandating kin care, but presumably a</w:t>
      </w:r>
      <w:r w:rsidRPr="0015265D">
        <w:rPr>
          <w:spacing w:val="-4"/>
          <w:szCs w:val="24"/>
        </w:rPr>
        <w:t>p</w:t>
      </w:r>
      <w:r w:rsidRPr="0015265D">
        <w:rPr>
          <w:spacing w:val="-4"/>
          <w:szCs w:val="24"/>
        </w:rPr>
        <w:t>plies only to an individual to whom the employee is legally married.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.5</w:t>
      </w:r>
      <w:r w:rsidRPr="0015265D">
        <w:rPr>
          <w:spacing w:val="-4"/>
          <w:szCs w:val="24"/>
        </w:rPr>
        <w:tab/>
        <w:t>In order to receive compensation while on sick leave, the employee shall notify his/her supervisor prior to the time for beginning the regular work day, or as soon thereafter as practical.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A42938" w:rsidRPr="0015265D" w:rsidRDefault="0011466D" w:rsidP="0011466D">
      <w:pPr>
        <w:pStyle w:val="CSDAPolicy1"/>
        <w:rPr>
          <w:spacing w:val="-4"/>
          <w:szCs w:val="24"/>
        </w:rPr>
        <w:sectPr w:rsidR="00A42938" w:rsidRPr="001526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152" w:right="1152" w:bottom="1152" w:left="1728" w:header="1152" w:footer="720" w:gutter="0"/>
          <w:cols w:space="720"/>
          <w:noEndnote/>
        </w:sect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.6</w:t>
      </w:r>
      <w:r w:rsidRPr="0015265D">
        <w:rPr>
          <w:spacing w:val="-4"/>
          <w:szCs w:val="24"/>
        </w:rPr>
        <w:tab/>
        <w:t>If absence from duty by reason of illness occurs, satisfactory evidence may be required by the [PERSONNEL DIRECTOR or other responsible managing employee].</w:t>
      </w:r>
    </w:p>
    <w:p w:rsidR="00A42938" w:rsidRPr="0015265D" w:rsidRDefault="00A42938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spacing w:val="-4"/>
          <w:szCs w:val="24"/>
        </w:rPr>
        <w:t>[OPTIONAL]</w:t>
      </w: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</w:p>
    <w:p w:rsidR="0011466D" w:rsidRPr="0015265D" w:rsidRDefault="0011466D" w:rsidP="0011466D">
      <w:pPr>
        <w:pStyle w:val="CSDAPolicy1"/>
        <w:rPr>
          <w:spacing w:val="-4"/>
          <w:szCs w:val="24"/>
        </w:rPr>
      </w:pPr>
      <w:r w:rsidRPr="0015265D">
        <w:rPr>
          <w:bCs/>
          <w:spacing w:val="-4"/>
        </w:rPr>
        <w:t>3460</w:t>
      </w:r>
      <w:r w:rsidRPr="0015265D">
        <w:rPr>
          <w:spacing w:val="-4"/>
          <w:szCs w:val="24"/>
        </w:rPr>
        <w:t>.7</w:t>
      </w:r>
      <w:r w:rsidRPr="0015265D">
        <w:rPr>
          <w:spacing w:val="-4"/>
          <w:szCs w:val="24"/>
        </w:rPr>
        <w:tab/>
        <w:t>Unused sick-leave time may be "bought back" by the District at a rate of one-half (½) day [specify whatever rate your district provides] for each whole day accrued.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Said buy back shall be limited only to time over and above 30 days of accrued sick leave.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No more than 12 days of accrued sick leave shall be bought back in any given calendar year unless employment is terminated for non-cause reasons, in which case all accrued sick leave over and above 30 days shall be bought back at said one-half (½) rate.</w:t>
      </w:r>
      <w:r w:rsidR="00F9678B" w:rsidRPr="0015265D">
        <w:rPr>
          <w:spacing w:val="-4"/>
          <w:szCs w:val="24"/>
        </w:rPr>
        <w:t xml:space="preserve"> </w:t>
      </w:r>
      <w:r w:rsidRPr="0015265D">
        <w:rPr>
          <w:spacing w:val="-4"/>
          <w:szCs w:val="24"/>
        </w:rPr>
        <w:t>Termination for cause shall result in loss of all accrued sick leave.</w:t>
      </w:r>
    </w:p>
    <w:p w:rsidR="001456ED" w:rsidRPr="0015265D" w:rsidRDefault="001456ED" w:rsidP="001456ED">
      <w:pPr>
        <w:pStyle w:val="CSDAPolicy1"/>
        <w:rPr>
          <w:spacing w:val="-4"/>
          <w:szCs w:val="24"/>
        </w:rPr>
      </w:pPr>
    </w:p>
    <w:sectPr w:rsidR="001456ED" w:rsidRPr="0015265D">
      <w:footerReference w:type="default" r:id="rId14"/>
      <w:endnotePr>
        <w:numFmt w:val="decimal"/>
      </w:endnotePr>
      <w:pgSz w:w="12240" w:h="15840" w:code="1"/>
      <w:pgMar w:top="1152" w:right="1152" w:bottom="1152" w:left="1728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4" w:rsidRDefault="004265D4">
      <w:r>
        <w:separator/>
      </w:r>
    </w:p>
  </w:endnote>
  <w:endnote w:type="continuationSeparator" w:id="0">
    <w:p w:rsidR="004265D4" w:rsidRDefault="004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0A" w:rsidRDefault="00084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EE" w:rsidRDefault="0008450A" w:rsidP="00F50021">
    <w:pPr>
      <w:tabs>
        <w:tab w:val="center" w:pos="4680"/>
        <w:tab w:val="right" w:pos="9360"/>
      </w:tabs>
      <w:rPr>
        <w:rFonts w:ascii="Arial Narrow" w:hAnsi="Arial Narrow"/>
        <w:sz w:val="24"/>
      </w:rPr>
    </w:pPr>
    <w:r w:rsidRPr="0008450A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1781175" y="8286750"/>
          <wp:positionH relativeFrom="page">
            <wp:align>left</wp:align>
          </wp:positionH>
          <wp:positionV relativeFrom="page">
            <wp:align>bottom</wp:align>
          </wp:positionV>
          <wp:extent cx="7772416" cy="1143002"/>
          <wp:effectExtent l="0" t="0" r="0" b="0"/>
          <wp:wrapSquare wrapText="bothSides"/>
          <wp:docPr id="3" name="Picture 3" descr="H:\Department Folders\Member Services\Shared Membership Folder\Sample Policy Handbook\6th Edition, 2016\Production\covers, footers, headers etc\SPH footer KMTG Revised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partment Folders\Member Services\Shared Membership Folder\Sample Policy Handbook\6th Edition, 2016\Production\covers, footers, headers etc\SPH footer KMTG Revised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16" cy="114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8EE">
      <w:rPr>
        <w:rFonts w:ascii="Arial Narrow" w:hAnsi="Arial Narrow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0A" w:rsidRDefault="000845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8" w:rsidRDefault="00A42938" w:rsidP="00F50021">
    <w:pPr>
      <w:tabs>
        <w:tab w:val="center" w:pos="4680"/>
        <w:tab w:val="right" w:pos="9360"/>
      </w:tabs>
      <w:rPr>
        <w:rFonts w:ascii="Arial Narrow" w:hAnsi="Arial Narrow"/>
        <w:sz w:val="24"/>
      </w:rPr>
    </w:pPr>
    <w:r>
      <w:rPr>
        <w:noProof/>
      </w:rPr>
      <w:drawing>
        <wp:inline distT="0" distB="0" distL="0" distR="0" wp14:anchorId="48FA347D" wp14:editId="41BC6BC3">
          <wp:extent cx="5943600" cy="874059"/>
          <wp:effectExtent l="0" t="0" r="0" b="0"/>
          <wp:docPr id="9" name="Picture 9" descr="C:\Users\cassandras\AppData\Local\Microsoft\Windows\INetCache\Content.Word\SPH footer KMT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ndras\AppData\Local\Microsoft\Windows\INetCache\Content.Word\SPH footer KMT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szCs w:val="16"/>
      </w:rPr>
      <w:tab/>
    </w:r>
    <w:r w:rsidRPr="00F318EE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47EF533" wp14:editId="45918BCE">
          <wp:simplePos x="1781175" y="8458200"/>
          <wp:positionH relativeFrom="page">
            <wp:align>left</wp:align>
          </wp:positionH>
          <wp:positionV relativeFrom="page">
            <wp:align>bottom</wp:align>
          </wp:positionV>
          <wp:extent cx="7772400" cy="1143000"/>
          <wp:effectExtent l="0" t="0" r="0" b="0"/>
          <wp:wrapSquare wrapText="bothSides"/>
          <wp:docPr id="10" name="Picture 10" descr="C:\Users\cassandras\AppData\Local\Microsoft\Windows\INetCache\Content.Outlook\UMBW9TO9\SPH footer secondary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ssandras\AppData\Local\Microsoft\Windows\INetCache\Content.Outlook\UMBW9TO9\SPH footer secondary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4" w:rsidRDefault="004265D4">
      <w:r>
        <w:separator/>
      </w:r>
    </w:p>
  </w:footnote>
  <w:footnote w:type="continuationSeparator" w:id="0">
    <w:p w:rsidR="004265D4" w:rsidRDefault="0042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0A" w:rsidRDefault="00084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8" w:rsidRPr="00A42938" w:rsidRDefault="00A42938" w:rsidP="00A4293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1781175" y="733425"/>
          <wp:positionH relativeFrom="page">
            <wp:align>left</wp:align>
          </wp:positionH>
          <wp:positionV relativeFrom="page">
            <wp:align>top</wp:align>
          </wp:positionV>
          <wp:extent cx="7755165" cy="1371600"/>
          <wp:effectExtent l="0" t="0" r="0" b="0"/>
          <wp:wrapSquare wrapText="bothSides"/>
          <wp:docPr id="1" name="Picture 1" descr="C:\Users\cassandras\AppData\Local\Microsoft\Windows\INetCache\Content.Word\SPH header Personnel Compens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ssandras\AppData\Local\Microsoft\Windows\INetCache\Content.Word\SPH header Personnel Compensa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51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0A" w:rsidRDefault="00084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>
    <w:nsid w:val="0BF724F4"/>
    <w:multiLevelType w:val="hybridMultilevel"/>
    <w:tmpl w:val="C994D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7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557A6D73"/>
    <w:multiLevelType w:val="hybridMultilevel"/>
    <w:tmpl w:val="E2C688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2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5DEE2BCB"/>
    <w:multiLevelType w:val="hybridMultilevel"/>
    <w:tmpl w:val="EFA89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57255"/>
    <w:multiLevelType w:val="hybridMultilevel"/>
    <w:tmpl w:val="8486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F1B2D"/>
    <w:multiLevelType w:val="hybridMultilevel"/>
    <w:tmpl w:val="E3A0046E"/>
    <w:lvl w:ilvl="0" w:tplc="F45E77AE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7">
    <w:nsid w:val="70314EB8"/>
    <w:multiLevelType w:val="hybridMultilevel"/>
    <w:tmpl w:val="7F624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94C"/>
    <w:multiLevelType w:val="hybridMultilevel"/>
    <w:tmpl w:val="DFB4B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02AC"/>
    <w:multiLevelType w:val="hybridMultilevel"/>
    <w:tmpl w:val="8E364E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2">
    <w:abstractNumId w:val="19"/>
  </w:num>
  <w:num w:numId="13">
    <w:abstractNumId w:val="21"/>
  </w:num>
  <w:num w:numId="14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>
    <w:abstractNumId w:val="18"/>
  </w:num>
  <w:num w:numId="16">
    <w:abstractNumId w:val="22"/>
  </w:num>
  <w:num w:numId="17">
    <w:abstractNumId w:val="12"/>
  </w:num>
  <w:num w:numId="18">
    <w:abstractNumId w:val="21"/>
    <w:lvlOverride w:ilvl="0">
      <w:lvl w:ilvl="0">
        <w:start w:val="1"/>
        <w:numFmt w:val="decimal"/>
        <w:pStyle w:val="ListNumber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19">
    <w:abstractNumId w:val="16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0">
    <w:abstractNumId w:val="26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1">
    <w:abstractNumId w:val="17"/>
  </w:num>
  <w:num w:numId="22">
    <w:abstractNumId w:val="15"/>
  </w:num>
  <w:num w:numId="23">
    <w:abstractNumId w:val="14"/>
  </w:num>
  <w:num w:numId="24">
    <w:abstractNumId w:val="30"/>
  </w:num>
  <w:num w:numId="25">
    <w:abstractNumId w:val="13"/>
  </w:num>
  <w:num w:numId="26">
    <w:abstractNumId w:val="11"/>
  </w:num>
  <w:num w:numId="27">
    <w:abstractNumId w:val="27"/>
  </w:num>
  <w:num w:numId="28">
    <w:abstractNumId w:val="24"/>
  </w:num>
  <w:num w:numId="29">
    <w:abstractNumId w:val="20"/>
  </w:num>
  <w:num w:numId="30">
    <w:abstractNumId w:val="23"/>
  </w:num>
  <w:num w:numId="31">
    <w:abstractNumId w:val="28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1"/>
    <w:rsid w:val="00022084"/>
    <w:rsid w:val="00071FEE"/>
    <w:rsid w:val="0008450A"/>
    <w:rsid w:val="0011466D"/>
    <w:rsid w:val="001456ED"/>
    <w:rsid w:val="0015265D"/>
    <w:rsid w:val="001B0CD2"/>
    <w:rsid w:val="002D2A31"/>
    <w:rsid w:val="002F2E96"/>
    <w:rsid w:val="002F6869"/>
    <w:rsid w:val="00352BAF"/>
    <w:rsid w:val="00385B3B"/>
    <w:rsid w:val="00397F38"/>
    <w:rsid w:val="004265D4"/>
    <w:rsid w:val="004665F5"/>
    <w:rsid w:val="00502CB1"/>
    <w:rsid w:val="005808AC"/>
    <w:rsid w:val="007D45CF"/>
    <w:rsid w:val="008100C8"/>
    <w:rsid w:val="00873AB6"/>
    <w:rsid w:val="00992A80"/>
    <w:rsid w:val="009D0EEF"/>
    <w:rsid w:val="00A37891"/>
    <w:rsid w:val="00A42938"/>
    <w:rsid w:val="00B86F01"/>
    <w:rsid w:val="00BA4B2C"/>
    <w:rsid w:val="00C321D9"/>
    <w:rsid w:val="00C853A7"/>
    <w:rsid w:val="00D56A90"/>
    <w:rsid w:val="00D964AA"/>
    <w:rsid w:val="00DA4DB9"/>
    <w:rsid w:val="00DF131C"/>
    <w:rsid w:val="00E468F8"/>
    <w:rsid w:val="00E91041"/>
    <w:rsid w:val="00F23480"/>
    <w:rsid w:val="00F318EE"/>
    <w:rsid w:val="00F43B6A"/>
    <w:rsid w:val="00F50021"/>
    <w:rsid w:val="00F716A6"/>
    <w:rsid w:val="00F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</w:style>
  <w:style w:type="paragraph" w:styleId="Footer">
    <w:name w:val="footer"/>
    <w:basedOn w:val="HeaderBase"/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olicy1">
    <w:name w:val="Policy 1"/>
    <w:basedOn w:val="Normal"/>
    <w:pPr>
      <w:tabs>
        <w:tab w:val="left" w:pos="-1440"/>
        <w:tab w:val="left" w:pos="-720"/>
        <w:tab w:val="left" w:pos="0"/>
        <w:tab w:val="left" w:pos="360"/>
        <w:tab w:val="left" w:pos="1440"/>
        <w:tab w:val="left" w:pos="1890"/>
        <w:tab w:val="left" w:pos="2880"/>
        <w:tab w:val="right" w:pos="9216"/>
      </w:tabs>
      <w:ind w:firstLine="360"/>
    </w:pPr>
    <w:rPr>
      <w:rFonts w:ascii="Arial Narrow" w:hAnsi="Arial Narrow"/>
      <w:sz w:val="24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styleId="FootnoteText">
    <w:name w:val="footnote text"/>
    <w:basedOn w:val="FootnoteBase"/>
    <w:semiHidden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1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CSDAPolicy1">
    <w:name w:val="CSDA Policy 1"/>
    <w:basedOn w:val="Normal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0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D9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4AA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</w:style>
  <w:style w:type="paragraph" w:styleId="Footer">
    <w:name w:val="footer"/>
    <w:basedOn w:val="HeaderBase"/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olicy1">
    <w:name w:val="Policy 1"/>
    <w:basedOn w:val="Normal"/>
    <w:pPr>
      <w:tabs>
        <w:tab w:val="left" w:pos="-1440"/>
        <w:tab w:val="left" w:pos="-720"/>
        <w:tab w:val="left" w:pos="0"/>
        <w:tab w:val="left" w:pos="360"/>
        <w:tab w:val="left" w:pos="1440"/>
        <w:tab w:val="left" w:pos="1890"/>
        <w:tab w:val="left" w:pos="2880"/>
        <w:tab w:val="right" w:pos="9216"/>
      </w:tabs>
      <w:ind w:firstLine="360"/>
    </w:pPr>
    <w:rPr>
      <w:rFonts w:ascii="Arial Narrow" w:hAnsi="Arial Narrow"/>
      <w:sz w:val="24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styleId="FootnoteText">
    <w:name w:val="footnote text"/>
    <w:basedOn w:val="FootnoteBase"/>
    <w:semiHidden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1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CSDAPolicy1">
    <w:name w:val="CSDA Policy 1"/>
    <w:basedOn w:val="Normal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0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D9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4AA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2017-03-23T22:19:00Z</cp:lastPrinted>
  <dcterms:created xsi:type="dcterms:W3CDTF">2023-12-15T01:09:00Z</dcterms:created>
  <dcterms:modified xsi:type="dcterms:W3CDTF">2023-12-15T01:09:00Z</dcterms:modified>
</cp:coreProperties>
</file>